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44FC" w14:textId="609C8BF7" w:rsidR="00016246" w:rsidRDefault="00016246" w:rsidP="00016246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In</w:t>
      </w:r>
      <w:r w:rsidRPr="00016246">
        <w:rPr>
          <w:rFonts w:cstheme="minorHAnsi"/>
          <w:bCs/>
          <w:sz w:val="32"/>
          <w:szCs w:val="32"/>
        </w:rPr>
        <w:t xml:space="preserve"> 2025 at least 326 </w:t>
      </w:r>
      <w:r w:rsidRPr="00016246">
        <w:rPr>
          <w:rFonts w:cstheme="minorHAnsi"/>
          <w:b/>
          <w:sz w:val="32"/>
          <w:szCs w:val="32"/>
        </w:rPr>
        <w:t>humanitarian workers</w:t>
      </w:r>
      <w:r w:rsidRPr="00016246">
        <w:rPr>
          <w:rFonts w:cstheme="minorHAnsi"/>
          <w:bCs/>
          <w:sz w:val="32"/>
          <w:szCs w:val="32"/>
        </w:rPr>
        <w:t xml:space="preserve"> were killed in 21 countries, bringing the number of victims to 1,010 in just three years.</w:t>
      </w:r>
      <w:r>
        <w:rPr>
          <w:rFonts w:cstheme="minorHAnsi"/>
          <w:bCs/>
          <w:sz w:val="32"/>
          <w:szCs w:val="32"/>
        </w:rPr>
        <w:t xml:space="preserve"> </w:t>
      </w:r>
      <w:r w:rsidR="00750AEF">
        <w:rPr>
          <w:rFonts w:cstheme="minorHAnsi"/>
          <w:bCs/>
          <w:sz w:val="32"/>
          <w:szCs w:val="32"/>
        </w:rPr>
        <w:t xml:space="preserve">Over </w:t>
      </w:r>
      <w:r w:rsidRPr="00016246">
        <w:rPr>
          <w:rFonts w:cstheme="minorHAnsi"/>
          <w:bCs/>
          <w:sz w:val="32"/>
          <w:szCs w:val="32"/>
        </w:rPr>
        <w:t xml:space="preserve">half </w:t>
      </w:r>
      <w:r w:rsidR="00750AEF">
        <w:rPr>
          <w:rFonts w:cstheme="minorHAnsi"/>
          <w:bCs/>
          <w:sz w:val="32"/>
          <w:szCs w:val="32"/>
        </w:rPr>
        <w:t xml:space="preserve">are estimated to have </w:t>
      </w:r>
      <w:r>
        <w:rPr>
          <w:rFonts w:cstheme="minorHAnsi"/>
          <w:bCs/>
          <w:sz w:val="32"/>
          <w:szCs w:val="32"/>
        </w:rPr>
        <w:t xml:space="preserve">died </w:t>
      </w:r>
      <w:r w:rsidRPr="00016246">
        <w:rPr>
          <w:rFonts w:cstheme="minorHAnsi"/>
          <w:bCs/>
          <w:sz w:val="32"/>
          <w:szCs w:val="32"/>
        </w:rPr>
        <w:t>in Gaza and the West Bank (560), 130 in Sudan's forgotten war, 60 in South Sudan</w:t>
      </w:r>
      <w:r w:rsidR="00750AEF">
        <w:rPr>
          <w:rFonts w:cstheme="minorHAnsi"/>
          <w:bCs/>
          <w:sz w:val="32"/>
          <w:szCs w:val="32"/>
        </w:rPr>
        <w:t xml:space="preserve"> and </w:t>
      </w:r>
      <w:r w:rsidRPr="00016246">
        <w:rPr>
          <w:rFonts w:cstheme="minorHAnsi"/>
          <w:bCs/>
          <w:sz w:val="32"/>
          <w:szCs w:val="32"/>
        </w:rPr>
        <w:t xml:space="preserve">25 in </w:t>
      </w:r>
      <w:r w:rsidR="00750AEF">
        <w:rPr>
          <w:rFonts w:cstheme="minorHAnsi"/>
          <w:bCs/>
          <w:sz w:val="32"/>
          <w:szCs w:val="32"/>
        </w:rPr>
        <w:t xml:space="preserve">both </w:t>
      </w:r>
      <w:r w:rsidRPr="00016246">
        <w:rPr>
          <w:rFonts w:cstheme="minorHAnsi"/>
          <w:bCs/>
          <w:sz w:val="32"/>
          <w:szCs w:val="32"/>
        </w:rPr>
        <w:t>Ukraine</w:t>
      </w:r>
      <w:r w:rsidR="00750AEF">
        <w:rPr>
          <w:rFonts w:cstheme="minorHAnsi"/>
          <w:bCs/>
          <w:sz w:val="32"/>
          <w:szCs w:val="32"/>
        </w:rPr>
        <w:t xml:space="preserve"> and the </w:t>
      </w:r>
      <w:r w:rsidRPr="00016246">
        <w:rPr>
          <w:rFonts w:cstheme="minorHAnsi"/>
          <w:bCs/>
          <w:sz w:val="32"/>
          <w:szCs w:val="32"/>
        </w:rPr>
        <w:t>Democratic Republic of Congo.</w:t>
      </w:r>
      <w:r>
        <w:rPr>
          <w:rFonts w:cstheme="minorHAnsi"/>
          <w:bCs/>
          <w:sz w:val="32"/>
          <w:szCs w:val="32"/>
        </w:rPr>
        <w:t xml:space="preserve"> [Source: Fides/ICN]</w:t>
      </w:r>
    </w:p>
    <w:p w14:paraId="51B086A8" w14:textId="26833ACF" w:rsidR="009B28A5" w:rsidRDefault="7B48C4A8" w:rsidP="6178D918">
      <w:pPr>
        <w:spacing w:after="0" w:line="240" w:lineRule="auto"/>
        <w:ind w:left="284" w:firstLine="284"/>
        <w:jc w:val="both"/>
        <w:rPr>
          <w:sz w:val="32"/>
          <w:szCs w:val="32"/>
        </w:rPr>
      </w:pPr>
      <w:r w:rsidRPr="6178D918">
        <w:rPr>
          <w:sz w:val="32"/>
          <w:szCs w:val="32"/>
        </w:rPr>
        <w:t xml:space="preserve">At least 65 Ethiopian migrants are at imminent risk of execution in </w:t>
      </w:r>
      <w:r w:rsidRPr="6178D918">
        <w:rPr>
          <w:b/>
          <w:bCs/>
          <w:sz w:val="32"/>
          <w:szCs w:val="32"/>
        </w:rPr>
        <w:t>Saudi Arabia</w:t>
      </w:r>
      <w:r w:rsidRPr="6178D918">
        <w:rPr>
          <w:sz w:val="32"/>
          <w:szCs w:val="32"/>
        </w:rPr>
        <w:t xml:space="preserve"> for drug-related offences. Three were executed on 21 April 2026</w:t>
      </w:r>
      <w:r w:rsidR="79B57779" w:rsidRPr="6178D918">
        <w:rPr>
          <w:sz w:val="32"/>
          <w:szCs w:val="32"/>
        </w:rPr>
        <w:t xml:space="preserve"> after </w:t>
      </w:r>
      <w:r w:rsidRPr="6178D918">
        <w:rPr>
          <w:sz w:val="32"/>
          <w:szCs w:val="32"/>
        </w:rPr>
        <w:t xml:space="preserve">extremely brief group court hearings </w:t>
      </w:r>
      <w:r w:rsidR="79B57779" w:rsidRPr="6178D918">
        <w:rPr>
          <w:sz w:val="32"/>
          <w:szCs w:val="32"/>
        </w:rPr>
        <w:t xml:space="preserve">without </w:t>
      </w:r>
      <w:r w:rsidRPr="6178D918">
        <w:rPr>
          <w:sz w:val="32"/>
          <w:szCs w:val="32"/>
        </w:rPr>
        <w:t xml:space="preserve">legal representation or </w:t>
      </w:r>
      <w:r w:rsidR="1B0E287A" w:rsidRPr="6178D918">
        <w:rPr>
          <w:sz w:val="32"/>
          <w:szCs w:val="32"/>
        </w:rPr>
        <w:t>translators or</w:t>
      </w:r>
      <w:r w:rsidR="79B57779" w:rsidRPr="6178D918">
        <w:rPr>
          <w:sz w:val="32"/>
          <w:szCs w:val="32"/>
        </w:rPr>
        <w:t xml:space="preserve"> being told </w:t>
      </w:r>
      <w:r w:rsidRPr="6178D918">
        <w:rPr>
          <w:sz w:val="32"/>
          <w:szCs w:val="32"/>
        </w:rPr>
        <w:t xml:space="preserve">the charges against them. They were reportedly beaten during the hearings and forced to sign documents they did not understand. A translator appeared only </w:t>
      </w:r>
      <w:r w:rsidR="79B57779" w:rsidRPr="6178D918">
        <w:rPr>
          <w:sz w:val="32"/>
          <w:szCs w:val="32"/>
        </w:rPr>
        <w:t xml:space="preserve">once </w:t>
      </w:r>
      <w:r w:rsidRPr="6178D918">
        <w:rPr>
          <w:sz w:val="32"/>
          <w:szCs w:val="32"/>
        </w:rPr>
        <w:t xml:space="preserve">to inform them that they </w:t>
      </w:r>
      <w:r w:rsidR="79B57779" w:rsidRPr="6178D918">
        <w:rPr>
          <w:sz w:val="32"/>
          <w:szCs w:val="32"/>
        </w:rPr>
        <w:t xml:space="preserve">were being sentenced to death for </w:t>
      </w:r>
      <w:r w:rsidRPr="6178D918">
        <w:rPr>
          <w:sz w:val="32"/>
          <w:szCs w:val="32"/>
        </w:rPr>
        <w:t>drug smuggling</w:t>
      </w:r>
      <w:r w:rsidR="79B57779" w:rsidRPr="6178D918">
        <w:rPr>
          <w:sz w:val="32"/>
          <w:szCs w:val="32"/>
        </w:rPr>
        <w:t xml:space="preserve">. </w:t>
      </w:r>
      <w:r w:rsidRPr="6178D918">
        <w:rPr>
          <w:sz w:val="32"/>
          <w:szCs w:val="32"/>
        </w:rPr>
        <w:t>The judge reportedly said, “You will be an example to others.” Hundreds of Ethiopians are suspected of being held, with over 200 facing the death penalty. [Source HRW]</w:t>
      </w:r>
    </w:p>
    <w:p w14:paraId="34FFC4A6" w14:textId="4C8A8A9C" w:rsidR="00724856" w:rsidRDefault="00724856" w:rsidP="00724856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 w:rsidRPr="00724856">
        <w:rPr>
          <w:rFonts w:cstheme="minorHAnsi"/>
          <w:bCs/>
          <w:sz w:val="32"/>
          <w:szCs w:val="32"/>
        </w:rPr>
        <w:t xml:space="preserve">The </w:t>
      </w:r>
      <w:r w:rsidRPr="00F83CAA">
        <w:rPr>
          <w:rFonts w:cstheme="minorHAnsi"/>
          <w:b/>
          <w:sz w:val="32"/>
          <w:szCs w:val="32"/>
        </w:rPr>
        <w:t>Malaysian government</w:t>
      </w:r>
      <w:r w:rsidRPr="00724856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 xml:space="preserve">introduced </w:t>
      </w:r>
      <w:r w:rsidRPr="00724856">
        <w:rPr>
          <w:rFonts w:cstheme="minorHAnsi"/>
          <w:bCs/>
          <w:sz w:val="32"/>
          <w:szCs w:val="32"/>
        </w:rPr>
        <w:t>a refugee registration system in January 2026</w:t>
      </w:r>
      <w:r>
        <w:rPr>
          <w:rFonts w:cstheme="minorHAnsi"/>
          <w:bCs/>
          <w:sz w:val="32"/>
          <w:szCs w:val="32"/>
        </w:rPr>
        <w:t xml:space="preserve"> that replaces </w:t>
      </w:r>
      <w:r w:rsidRPr="00724856">
        <w:rPr>
          <w:rFonts w:cstheme="minorHAnsi"/>
          <w:bCs/>
          <w:sz w:val="32"/>
          <w:szCs w:val="32"/>
        </w:rPr>
        <w:t>the current system managed by the United Nations High Commissioner for Refugees (UNHCR).</w:t>
      </w:r>
      <w:r>
        <w:rPr>
          <w:rFonts w:cstheme="minorHAnsi"/>
          <w:bCs/>
          <w:sz w:val="32"/>
          <w:szCs w:val="32"/>
        </w:rPr>
        <w:t xml:space="preserve"> </w:t>
      </w:r>
      <w:r w:rsidR="00750AEF">
        <w:rPr>
          <w:rFonts w:cstheme="minorHAnsi"/>
          <w:bCs/>
          <w:sz w:val="32"/>
          <w:szCs w:val="32"/>
        </w:rPr>
        <w:t xml:space="preserve">The change </w:t>
      </w:r>
      <w:r>
        <w:rPr>
          <w:rFonts w:cstheme="minorHAnsi"/>
          <w:bCs/>
          <w:sz w:val="32"/>
          <w:szCs w:val="32"/>
        </w:rPr>
        <w:t xml:space="preserve">accompanies </w:t>
      </w:r>
      <w:r w:rsidRPr="00724856">
        <w:rPr>
          <w:rFonts w:cstheme="minorHAnsi"/>
          <w:bCs/>
          <w:sz w:val="32"/>
          <w:szCs w:val="32"/>
        </w:rPr>
        <w:t xml:space="preserve">intensified enforcement of </w:t>
      </w:r>
      <w:r>
        <w:rPr>
          <w:rFonts w:cstheme="minorHAnsi"/>
          <w:bCs/>
          <w:sz w:val="32"/>
          <w:szCs w:val="32"/>
        </w:rPr>
        <w:t xml:space="preserve">the country's </w:t>
      </w:r>
      <w:r w:rsidRPr="00724856">
        <w:rPr>
          <w:rFonts w:cstheme="minorHAnsi"/>
          <w:bCs/>
          <w:sz w:val="32"/>
          <w:szCs w:val="32"/>
        </w:rPr>
        <w:t>immigration laws, including frequent raids and indefinite detention</w:t>
      </w:r>
      <w:r w:rsidR="00750AEF">
        <w:rPr>
          <w:rFonts w:cstheme="minorHAnsi"/>
          <w:bCs/>
          <w:sz w:val="32"/>
          <w:szCs w:val="32"/>
        </w:rPr>
        <w:t xml:space="preserve">. There is </w:t>
      </w:r>
      <w:r>
        <w:rPr>
          <w:rFonts w:cstheme="minorHAnsi"/>
          <w:bCs/>
          <w:sz w:val="32"/>
          <w:szCs w:val="32"/>
        </w:rPr>
        <w:t xml:space="preserve">long-standing </w:t>
      </w:r>
      <w:r w:rsidRPr="00724856">
        <w:rPr>
          <w:rFonts w:cstheme="minorHAnsi"/>
          <w:bCs/>
          <w:sz w:val="32"/>
          <w:szCs w:val="32"/>
        </w:rPr>
        <w:t>public hostility toward migrants and UNHCR</w:t>
      </w:r>
      <w:r>
        <w:rPr>
          <w:rFonts w:cstheme="minorHAnsi"/>
          <w:bCs/>
          <w:sz w:val="32"/>
          <w:szCs w:val="32"/>
        </w:rPr>
        <w:t>.</w:t>
      </w:r>
    </w:p>
    <w:p w14:paraId="46BCCE71" w14:textId="3B89906D" w:rsidR="00F83CAA" w:rsidRDefault="00F83CAA" w:rsidP="00F83CAA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Although ch</w:t>
      </w:r>
      <w:r w:rsidRPr="00F83CAA">
        <w:rPr>
          <w:rFonts w:cstheme="minorHAnsi"/>
          <w:bCs/>
          <w:sz w:val="32"/>
          <w:szCs w:val="32"/>
        </w:rPr>
        <w:t xml:space="preserve">ild marriage has been illegal in </w:t>
      </w:r>
      <w:r w:rsidRPr="00F83CAA">
        <w:rPr>
          <w:rFonts w:cstheme="minorHAnsi"/>
          <w:b/>
          <w:sz w:val="32"/>
          <w:szCs w:val="32"/>
        </w:rPr>
        <w:t>Bangladesh</w:t>
      </w:r>
      <w:r w:rsidRPr="00F83CAA">
        <w:rPr>
          <w:rFonts w:cstheme="minorHAnsi"/>
          <w:bCs/>
          <w:sz w:val="32"/>
          <w:szCs w:val="32"/>
        </w:rPr>
        <w:t xml:space="preserve"> since 1929</w:t>
      </w:r>
      <w:r>
        <w:rPr>
          <w:rFonts w:cstheme="minorHAnsi"/>
          <w:bCs/>
          <w:sz w:val="32"/>
          <w:szCs w:val="32"/>
        </w:rPr>
        <w:t xml:space="preserve">, with the </w:t>
      </w:r>
      <w:r w:rsidRPr="00F83CAA">
        <w:rPr>
          <w:rFonts w:cstheme="minorHAnsi"/>
          <w:bCs/>
          <w:sz w:val="32"/>
          <w:szCs w:val="32"/>
        </w:rPr>
        <w:t xml:space="preserve">minimum age of marriage at 18 for women and 21 for men since </w:t>
      </w:r>
      <w:r>
        <w:rPr>
          <w:rFonts w:cstheme="minorHAnsi"/>
          <w:bCs/>
          <w:sz w:val="32"/>
          <w:szCs w:val="32"/>
        </w:rPr>
        <w:t>t</w:t>
      </w:r>
      <w:r w:rsidRPr="00F83CAA">
        <w:rPr>
          <w:rFonts w:cstheme="minorHAnsi"/>
          <w:bCs/>
          <w:sz w:val="32"/>
          <w:szCs w:val="32"/>
        </w:rPr>
        <w:t>he 1980s</w:t>
      </w:r>
      <w:r>
        <w:rPr>
          <w:rFonts w:cstheme="minorHAnsi"/>
          <w:bCs/>
          <w:sz w:val="32"/>
          <w:szCs w:val="32"/>
        </w:rPr>
        <w:t xml:space="preserve">, 65% of girls under 18 are still married (2% are under 11). The situation persists owing to government inaction, </w:t>
      </w:r>
      <w:r w:rsidRPr="00F83CAA">
        <w:rPr>
          <w:rFonts w:cstheme="minorHAnsi"/>
          <w:bCs/>
          <w:sz w:val="32"/>
          <w:szCs w:val="32"/>
        </w:rPr>
        <w:t xml:space="preserve">poverty, natural disasters, lack of access to education, social pressure, harassment, and dowry. </w:t>
      </w:r>
      <w:r>
        <w:rPr>
          <w:rFonts w:cstheme="minorHAnsi"/>
          <w:bCs/>
          <w:sz w:val="32"/>
          <w:szCs w:val="32"/>
        </w:rPr>
        <w:t xml:space="preserve">The </w:t>
      </w:r>
      <w:r w:rsidRPr="00F83CAA">
        <w:rPr>
          <w:rFonts w:cstheme="minorHAnsi"/>
          <w:bCs/>
          <w:sz w:val="32"/>
          <w:szCs w:val="32"/>
        </w:rPr>
        <w:t>health consequences includ</w:t>
      </w:r>
      <w:r w:rsidR="00F2425E">
        <w:rPr>
          <w:rFonts w:cstheme="minorHAnsi"/>
          <w:bCs/>
          <w:sz w:val="32"/>
          <w:szCs w:val="32"/>
        </w:rPr>
        <w:t>e</w:t>
      </w:r>
      <w:r w:rsidRPr="00F83CAA">
        <w:rPr>
          <w:rFonts w:cstheme="minorHAnsi"/>
          <w:bCs/>
          <w:sz w:val="32"/>
          <w:szCs w:val="32"/>
        </w:rPr>
        <w:t xml:space="preserve"> death </w:t>
      </w:r>
      <w:r>
        <w:rPr>
          <w:rFonts w:cstheme="minorHAnsi"/>
          <w:bCs/>
          <w:sz w:val="32"/>
          <w:szCs w:val="32"/>
        </w:rPr>
        <w:t xml:space="preserve">following </w:t>
      </w:r>
      <w:r w:rsidRPr="00F83CAA">
        <w:rPr>
          <w:rFonts w:cstheme="minorHAnsi"/>
          <w:bCs/>
          <w:sz w:val="32"/>
          <w:szCs w:val="32"/>
        </w:rPr>
        <w:t xml:space="preserve">early pregnancy, abandonment, </w:t>
      </w:r>
      <w:r>
        <w:rPr>
          <w:rFonts w:cstheme="minorHAnsi"/>
          <w:bCs/>
          <w:sz w:val="32"/>
          <w:szCs w:val="32"/>
        </w:rPr>
        <w:t xml:space="preserve">as well as </w:t>
      </w:r>
      <w:r w:rsidRPr="00F83CAA">
        <w:rPr>
          <w:rFonts w:cstheme="minorHAnsi"/>
          <w:bCs/>
          <w:sz w:val="32"/>
          <w:szCs w:val="32"/>
        </w:rPr>
        <w:t>and domestic violence from spouses and in-laws.</w:t>
      </w:r>
      <w:r w:rsidR="00016246">
        <w:rPr>
          <w:rFonts w:cstheme="minorHAnsi"/>
          <w:bCs/>
          <w:sz w:val="32"/>
          <w:szCs w:val="32"/>
        </w:rPr>
        <w:t xml:space="preserve"> [HRW]</w:t>
      </w:r>
    </w:p>
    <w:p w14:paraId="08720C25" w14:textId="2213F1C4" w:rsidR="00016246" w:rsidRDefault="00016246" w:rsidP="00F83CAA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In early April 2026 </w:t>
      </w:r>
      <w:r w:rsidRPr="00BE0043">
        <w:rPr>
          <w:rFonts w:cstheme="minorHAnsi"/>
          <w:b/>
          <w:sz w:val="32"/>
          <w:szCs w:val="32"/>
        </w:rPr>
        <w:t>Cuba</w:t>
      </w:r>
      <w:r>
        <w:rPr>
          <w:rFonts w:cstheme="minorHAnsi"/>
          <w:bCs/>
          <w:sz w:val="32"/>
          <w:szCs w:val="32"/>
        </w:rPr>
        <w:t xml:space="preserve"> announced that it would release 2,000 prisoners as a "humanitarian gesture" for Easter Holy Week. According to Prisoners Defended 1,214 were registered as political prisoners in February.</w:t>
      </w:r>
    </w:p>
    <w:p w14:paraId="405BFDE1" w14:textId="6D08B668" w:rsidR="00016246" w:rsidRPr="009B28A5" w:rsidRDefault="00016246" w:rsidP="00F83CAA">
      <w:pPr>
        <w:spacing w:after="0" w:line="240" w:lineRule="auto"/>
        <w:ind w:left="284" w:firstLine="284"/>
        <w:jc w:val="both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lastRenderedPageBreak/>
        <w:t xml:space="preserve">In November 2025, 169 member states at the </w:t>
      </w:r>
      <w:r w:rsidRPr="00016246">
        <w:rPr>
          <w:rFonts w:cstheme="minorHAnsi"/>
          <w:b/>
          <w:sz w:val="32"/>
          <w:szCs w:val="32"/>
        </w:rPr>
        <w:t>UN General Assembly</w:t>
      </w:r>
      <w:r>
        <w:rPr>
          <w:rFonts w:cstheme="minorHAnsi"/>
          <w:bCs/>
          <w:sz w:val="32"/>
          <w:szCs w:val="32"/>
        </w:rPr>
        <w:t xml:space="preserve"> voted to support a resolution repudiating "Torture and </w:t>
      </w:r>
      <w:r w:rsidRPr="00673E13">
        <w:rPr>
          <w:rFonts w:cstheme="minorHAnsi"/>
          <w:bCs/>
          <w:sz w:val="32"/>
          <w:szCs w:val="32"/>
        </w:rPr>
        <w:t>Other Cruel, Inhuman or Degrading Treatment and Punishment</w:t>
      </w:r>
      <w:r>
        <w:rPr>
          <w:rFonts w:cstheme="minorHAnsi"/>
          <w:bCs/>
          <w:sz w:val="32"/>
          <w:szCs w:val="32"/>
        </w:rPr>
        <w:t>"</w:t>
      </w:r>
      <w:r w:rsidRPr="00673E13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 xml:space="preserve">in all its forms. Three countries voted against (US, Israel and Argentina) and four abstained (Burundi, Nicaragua, Papua New Guinea and Russia). </w:t>
      </w:r>
    </w:p>
    <w:sectPr w:rsidR="00016246" w:rsidRPr="009B2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10D0"/>
    <w:multiLevelType w:val="multilevel"/>
    <w:tmpl w:val="59A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E2C60"/>
    <w:multiLevelType w:val="multilevel"/>
    <w:tmpl w:val="1AF8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86D87"/>
    <w:multiLevelType w:val="multilevel"/>
    <w:tmpl w:val="2C3E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091480">
    <w:abstractNumId w:val="0"/>
  </w:num>
  <w:num w:numId="2" w16cid:durableId="624971439">
    <w:abstractNumId w:val="1"/>
  </w:num>
  <w:num w:numId="3" w16cid:durableId="64331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6C"/>
    <w:rsid w:val="00016246"/>
    <w:rsid w:val="000365C5"/>
    <w:rsid w:val="00047A78"/>
    <w:rsid w:val="00057BF9"/>
    <w:rsid w:val="00057C18"/>
    <w:rsid w:val="0006194E"/>
    <w:rsid w:val="000662AF"/>
    <w:rsid w:val="00081A2C"/>
    <w:rsid w:val="000A3C89"/>
    <w:rsid w:val="000E505D"/>
    <w:rsid w:val="001144B8"/>
    <w:rsid w:val="00127649"/>
    <w:rsid w:val="0013006C"/>
    <w:rsid w:val="00142236"/>
    <w:rsid w:val="00172A54"/>
    <w:rsid w:val="001B6933"/>
    <w:rsid w:val="001C7919"/>
    <w:rsid w:val="001D07EA"/>
    <w:rsid w:val="0025468E"/>
    <w:rsid w:val="0025610B"/>
    <w:rsid w:val="002B429A"/>
    <w:rsid w:val="002B4D96"/>
    <w:rsid w:val="002B54FF"/>
    <w:rsid w:val="002D6D88"/>
    <w:rsid w:val="002E4381"/>
    <w:rsid w:val="003256A9"/>
    <w:rsid w:val="0035495C"/>
    <w:rsid w:val="0037443A"/>
    <w:rsid w:val="003815C3"/>
    <w:rsid w:val="00394CA6"/>
    <w:rsid w:val="003950D9"/>
    <w:rsid w:val="003A19D6"/>
    <w:rsid w:val="003A6313"/>
    <w:rsid w:val="003B276C"/>
    <w:rsid w:val="003B7CBF"/>
    <w:rsid w:val="003C0046"/>
    <w:rsid w:val="003C5CDD"/>
    <w:rsid w:val="0043706C"/>
    <w:rsid w:val="00455787"/>
    <w:rsid w:val="00463AB7"/>
    <w:rsid w:val="0046483E"/>
    <w:rsid w:val="00482519"/>
    <w:rsid w:val="004A6325"/>
    <w:rsid w:val="004D334E"/>
    <w:rsid w:val="004E2519"/>
    <w:rsid w:val="004E662D"/>
    <w:rsid w:val="004F3F7C"/>
    <w:rsid w:val="0056042F"/>
    <w:rsid w:val="00565AD5"/>
    <w:rsid w:val="00571014"/>
    <w:rsid w:val="005B0C37"/>
    <w:rsid w:val="005F459D"/>
    <w:rsid w:val="00605EC9"/>
    <w:rsid w:val="00634663"/>
    <w:rsid w:val="006371E6"/>
    <w:rsid w:val="006433B2"/>
    <w:rsid w:val="00675EAD"/>
    <w:rsid w:val="00690FDC"/>
    <w:rsid w:val="00700A63"/>
    <w:rsid w:val="00724856"/>
    <w:rsid w:val="007431AC"/>
    <w:rsid w:val="00750AEF"/>
    <w:rsid w:val="007664F7"/>
    <w:rsid w:val="007A4BB9"/>
    <w:rsid w:val="007B78C0"/>
    <w:rsid w:val="007F3BD2"/>
    <w:rsid w:val="0080515C"/>
    <w:rsid w:val="008053AD"/>
    <w:rsid w:val="00812CB6"/>
    <w:rsid w:val="00847497"/>
    <w:rsid w:val="00854D5A"/>
    <w:rsid w:val="00857C0E"/>
    <w:rsid w:val="008E74CA"/>
    <w:rsid w:val="009431E3"/>
    <w:rsid w:val="00951A72"/>
    <w:rsid w:val="009B28A5"/>
    <w:rsid w:val="009C06F7"/>
    <w:rsid w:val="009C2EF8"/>
    <w:rsid w:val="009C3658"/>
    <w:rsid w:val="009F3D4D"/>
    <w:rsid w:val="00A113B7"/>
    <w:rsid w:val="00A43F29"/>
    <w:rsid w:val="00A51AAA"/>
    <w:rsid w:val="00A67F2F"/>
    <w:rsid w:val="00A86CD1"/>
    <w:rsid w:val="00AB4B7D"/>
    <w:rsid w:val="00AD1DD9"/>
    <w:rsid w:val="00AE0AFF"/>
    <w:rsid w:val="00B0293F"/>
    <w:rsid w:val="00B44142"/>
    <w:rsid w:val="00B44875"/>
    <w:rsid w:val="00B47E71"/>
    <w:rsid w:val="00B714BD"/>
    <w:rsid w:val="00B92FD1"/>
    <w:rsid w:val="00B94290"/>
    <w:rsid w:val="00BD5852"/>
    <w:rsid w:val="00BD6356"/>
    <w:rsid w:val="00BE788C"/>
    <w:rsid w:val="00C10E3A"/>
    <w:rsid w:val="00C43A0E"/>
    <w:rsid w:val="00C5145B"/>
    <w:rsid w:val="00C705D8"/>
    <w:rsid w:val="00C70C28"/>
    <w:rsid w:val="00C769BF"/>
    <w:rsid w:val="00CA00BB"/>
    <w:rsid w:val="00CD136A"/>
    <w:rsid w:val="00CD3E8E"/>
    <w:rsid w:val="00CD5243"/>
    <w:rsid w:val="00CD7897"/>
    <w:rsid w:val="00D06554"/>
    <w:rsid w:val="00D14F2A"/>
    <w:rsid w:val="00D17996"/>
    <w:rsid w:val="00D560B8"/>
    <w:rsid w:val="00D7250B"/>
    <w:rsid w:val="00D914C3"/>
    <w:rsid w:val="00DE67E3"/>
    <w:rsid w:val="00DE7A4C"/>
    <w:rsid w:val="00DF47AB"/>
    <w:rsid w:val="00E028D6"/>
    <w:rsid w:val="00E16689"/>
    <w:rsid w:val="00E64B32"/>
    <w:rsid w:val="00E878DC"/>
    <w:rsid w:val="00EC2176"/>
    <w:rsid w:val="00EC2898"/>
    <w:rsid w:val="00EC2B52"/>
    <w:rsid w:val="00EF63A2"/>
    <w:rsid w:val="00F166C8"/>
    <w:rsid w:val="00F23FCD"/>
    <w:rsid w:val="00F2422D"/>
    <w:rsid w:val="00F2425E"/>
    <w:rsid w:val="00F54BA9"/>
    <w:rsid w:val="00F55510"/>
    <w:rsid w:val="00F606FA"/>
    <w:rsid w:val="00F6311B"/>
    <w:rsid w:val="00F81E22"/>
    <w:rsid w:val="00F83CAA"/>
    <w:rsid w:val="00FC5437"/>
    <w:rsid w:val="00FE6674"/>
    <w:rsid w:val="00FF70AC"/>
    <w:rsid w:val="1B0E287A"/>
    <w:rsid w:val="6178D918"/>
    <w:rsid w:val="79B57779"/>
    <w:rsid w:val="7B48C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6C57"/>
  <w15:chartTrackingRefBased/>
  <w15:docId w15:val="{6C168D65-7815-4576-8293-8E48D0AB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D6"/>
  </w:style>
  <w:style w:type="paragraph" w:styleId="Heading1">
    <w:name w:val="heading 1"/>
    <w:basedOn w:val="Normal"/>
    <w:next w:val="Normal"/>
    <w:link w:val="Heading1Char"/>
    <w:uiPriority w:val="9"/>
    <w:qFormat/>
    <w:rsid w:val="0043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0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2033</Characters>
  <Application>Microsoft Office Word</Application>
  <DocSecurity>0</DocSecurity>
  <Lines>61</Lines>
  <Paragraphs>70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</dc:creator>
  <cp:keywords/>
  <dc:description/>
  <cp:lastModifiedBy>Maurice Dyson</cp:lastModifiedBy>
  <cp:revision>26</cp:revision>
  <cp:lastPrinted>2025-10-30T03:14:00Z</cp:lastPrinted>
  <dcterms:created xsi:type="dcterms:W3CDTF">2026-05-12T11:03:00Z</dcterms:created>
  <dcterms:modified xsi:type="dcterms:W3CDTF">2026-05-12T11:15:00Z</dcterms:modified>
</cp:coreProperties>
</file>